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74FEC562" w:rsidR="006B0CC2" w:rsidRPr="006B0CC2" w:rsidRDefault="00C37A5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КОНЦЕПЦИИ РАЗВИТИЯ И ЭФФЕКТИВНОГО ИСПОЛЬЗОВАНИЯ НАУЧНОГО ПОТЕНЦИАЛА ОБЩЕСТВА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2011AEA2" w:rsidR="006B0CC2" w:rsidRPr="006B0CC2" w:rsidRDefault="00C37A5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февраля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68030B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C37A56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Киров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C0384A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C37A56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KON-416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4829B1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C37A5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февраля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3D363B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37A5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KON-416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C37A56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1095D5A" w:rsidR="006B0CC2" w:rsidRPr="00CC4F04" w:rsidRDefault="00C37A56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KON-416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7EE0BFF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C37A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КОНЦЕПЦИИ РАЗВИТИЯ И ЭФФЕКТИВНОГО ИСПОЛЬЗОВАНИЯ НАУЧНОГО ПОТЕНЦИАЛА ОБЩЕСТВА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C37A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Киров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C37A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февраля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738EACB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C37A56">
      <w:rPr>
        <w:rFonts w:ascii="Trebuchet MS" w:hAnsi="Trebuchet MS"/>
        <w:sz w:val="18"/>
        <w:szCs w:val="18"/>
      </w:rPr>
      <w:t>КОНЦЕПЦИИ РАЗВИТИЯ И ЭФФЕКТИВНОГО ИСПОЛЬЗОВАНИЯ НАУЧНОГО ПОТЕНЦИАЛА ОБЩЕСТВА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37A56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