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042B847C" w:rsidR="006B0CC2" w:rsidRPr="00D43698" w:rsidRDefault="00835F9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СОВРЕМЕННЫЕ ЗАДАЧИ И ПЕРСПЕКТИВНЫЕ НАПРАВЛЕНИЯ ИННОВАЦИОННОГО РАЗВИТИЯ НАУКИ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95922AD" w:rsidR="006B0CC2" w:rsidRPr="006B0CC2" w:rsidRDefault="00835F9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ноября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C2395E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835F9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Волгоград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1FF706A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835F99">
        <w:rPr>
          <w:rFonts w:ascii="Trebuchet MS" w:eastAsia="Times New Roman" w:hAnsi="Trebuchet MS"/>
          <w:b/>
          <w:sz w:val="20"/>
          <w:szCs w:val="20"/>
          <w:lang w:eastAsia="ru-RU"/>
        </w:rPr>
        <w:t>KON-463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1B0387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835F9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BE5780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35F9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KON-463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8299D51" w:rsidR="006B0CC2" w:rsidRPr="00CC4F04" w:rsidRDefault="00835F9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KON-463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ноября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42FF14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835F9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СОВРЕМЕННЫЕ ЗАДАЧИ И ПЕРСПЕКТИВНЫЕ НАПРАВЛЕНИЯ ИННОВАЦИОННОГО РАЗВИТИЯ НАУКИ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835F9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Волгоград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835F9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AF84B27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835F99">
      <w:rPr>
        <w:rFonts w:ascii="Trebuchet MS" w:hAnsi="Trebuchet MS"/>
        <w:sz w:val="16"/>
        <w:szCs w:val="16"/>
      </w:rPr>
      <w:t>СОВРЕМЕННЫЕ ЗАДАЧИ И ПЕРСПЕКТИВНЫЕ НАПРАВЛЕНИЯ ИННОВАЦИОННОГО РАЗВИТИЯ НАУКИ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35F99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