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2FEE4FF0" w:rsidR="006B0CC2" w:rsidRPr="00CE25F9" w:rsidRDefault="00256382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ВЗАИМОДЕЙСТВИЕ НАУКИ И ОБЩЕСТВА – ПУТЬ К МОДЕРНИЗАЦИИ И ИННОВАЦИОННОМУ РАЗВИТИЮ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64AB1E17" w:rsidR="006B0CC2" w:rsidRPr="00CE25F9" w:rsidRDefault="002563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7 декабря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00A87184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256382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Волгоград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738027BB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256382">
        <w:rPr>
          <w:rFonts w:ascii="Arial" w:eastAsia="Times New Roman" w:hAnsi="Arial" w:cs="Arial"/>
          <w:b/>
          <w:sz w:val="24"/>
          <w:szCs w:val="24"/>
          <w:lang w:eastAsia="ru-RU"/>
        </w:rPr>
        <w:t>KON-761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1EF9009F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256382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7 декабря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72BA5ABE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256382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KON-761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6C446B67" w:rsidR="000528C3" w:rsidRDefault="00256382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KON-761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0A225E1F" w:rsidR="006B0CC2" w:rsidRPr="000528C3" w:rsidRDefault="00256382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 декабря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780D47CB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25638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ВЗАИМОДЕЙСТВИЕ НАУКИ И ОБЩЕСТВА – ПУТЬ К МОДЕРНИЗАЦИИ И ИННОВАЦИОННОМУ РАЗВИТИЮ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25638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Волгоград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25638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7 декабря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29FABEA6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256382">
      <w:rPr>
        <w:rFonts w:cs="Calibri"/>
        <w:sz w:val="16"/>
        <w:szCs w:val="16"/>
      </w:rPr>
      <w:t>ВЗАИМОДЕЙСТВИЕ НАУКИ И ОБЩЕСТВА – ПУТЬ К МОДЕРНИЗАЦИИ И ИННОВАЦИОННОМУ РАЗВИТИЮ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56382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8981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10358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2026-05-12T09:02:00Z</dcterms:created>
  <dcterms:modified xsi:type="dcterms:W3CDTF">2026-05-12T09:02:00Z</dcterms:modified>
</cp:coreProperties>
</file>